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540" w:lineRule="exact"/>
        <w:ind w:firstLine="567"/>
        <w:rPr>
          <w:rFonts w:hAnsi="宋体" w:eastAsia="仿宋_GB2312" w:cs="宋体"/>
          <w:b w:val="0"/>
          <w:bCs w:val="0"/>
          <w:kern w:val="0"/>
          <w:sz w:val="36"/>
          <w:szCs w:val="36"/>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10"/>
          <w:rFonts w:hint="eastAsia" w:ascii="仿宋" w:hAnsi="仿宋" w:eastAsia="仿宋" w:cs="仿宋"/>
          <w:b w:val="0"/>
          <w:bCs w:val="0"/>
          <w:spacing w:val="-4"/>
          <w:sz w:val="36"/>
          <w:szCs w:val="36"/>
        </w:rPr>
        <w:t>克州特种设备检验检测所</w:t>
      </w:r>
    </w:p>
    <w:p>
      <w:pPr>
        <w:spacing w:line="540" w:lineRule="exact"/>
        <w:ind w:left="273" w:firstLine="567"/>
        <w:jc w:val="both"/>
        <w:rPr>
          <w:rStyle w:val="10"/>
          <w:rFonts w:hint="eastAsia" w:ascii="仿宋" w:hAnsi="仿宋" w:eastAsia="仿宋" w:cs="仿宋"/>
          <w:b w:val="0"/>
          <w:bCs w:val="0"/>
          <w:spacing w:val="-4"/>
          <w:sz w:val="44"/>
          <w:szCs w:val="44"/>
        </w:rPr>
      </w:pPr>
      <w:r>
        <w:rPr>
          <w:rFonts w:hint="eastAsia" w:hAnsi="宋体" w:eastAsia="仿宋_GB2312" w:cs="宋体"/>
          <w:kern w:val="0"/>
          <w:sz w:val="36"/>
          <w:szCs w:val="36"/>
        </w:rPr>
        <w:t>填报时间：</w:t>
      </w:r>
      <w:r>
        <w:rPr>
          <w:rStyle w:val="10"/>
          <w:rFonts w:hint="eastAsia" w:ascii="仿宋" w:hAnsi="仿宋" w:eastAsia="仿宋" w:cs="仿宋"/>
          <w:b w:val="0"/>
          <w:bCs w:val="0"/>
          <w:spacing w:val="-4"/>
          <w:sz w:val="36"/>
          <w:szCs w:val="36"/>
        </w:rPr>
        <w:t>2022年03月04日</w:t>
      </w:r>
    </w:p>
    <w:p>
      <w:pPr>
        <w:rPr>
          <w:rStyle w:val="10"/>
          <w:rFonts w:hint="eastAsia" w:ascii="仿宋" w:hAnsi="仿宋" w:eastAsia="仿宋" w:cs="仿宋"/>
          <w:b w:val="0"/>
          <w:bCs w:val="0"/>
          <w:spacing w:val="-4"/>
          <w:sz w:val="44"/>
          <w:szCs w:val="44"/>
        </w:rPr>
      </w:pPr>
      <w:r>
        <w:rPr>
          <w:rStyle w:val="10"/>
          <w:rFonts w:hint="eastAsia" w:ascii="仿宋" w:hAnsi="仿宋" w:eastAsia="仿宋" w:cs="仿宋"/>
          <w:b w:val="0"/>
          <w:bCs w:val="0"/>
          <w:spacing w:val="-4"/>
          <w:sz w:val="44"/>
          <w:szCs w:val="44"/>
        </w:rPr>
        <w:br w:type="page"/>
      </w:r>
    </w:p>
    <w:p>
      <w:pPr>
        <w:pStyle w:val="2"/>
        <w:numPr>
          <w:ilvl w:val="0"/>
          <w:numId w:val="1"/>
        </w:numPr>
        <w:bidi w:val="0"/>
      </w:pPr>
      <w:r>
        <w:rPr>
          <w:rFonts w:hint="eastAsia"/>
        </w:rPr>
        <w:t>基本概况</w:t>
      </w:r>
    </w:p>
    <w:p>
      <w:pPr>
        <w:keepNext w:val="0"/>
        <w:keepLines w:val="0"/>
        <w:pageBreakBefore w:val="0"/>
        <w:widowControl w:val="0"/>
        <w:kinsoku/>
        <w:wordWrap/>
        <w:overflowPunct/>
        <w:topLinePunct w:val="0"/>
        <w:autoSpaceDE/>
        <w:autoSpaceDN/>
        <w:bidi w:val="0"/>
        <w:adjustRightInd/>
        <w:snapToGrid/>
        <w:spacing w:line="240" w:lineRule="auto"/>
        <w:ind w:left="0" w:firstLine="643" w:firstLineChars="200"/>
        <w:jc w:val="left"/>
        <w:textAlignment w:val="auto"/>
        <w:rPr>
          <w:rFonts w:hint="eastAsia" w:ascii="仿宋_GB2312" w:hAnsi="宋体" w:eastAsia="仿宋_GB2312"/>
          <w:b w:val="0"/>
          <w:bCs/>
          <w:sz w:val="32"/>
          <w:szCs w:val="32"/>
        </w:rPr>
      </w:pPr>
      <w:r>
        <w:rPr>
          <w:rStyle w:val="14"/>
          <w:rFonts w:hint="eastAsia"/>
        </w:rPr>
        <w:t>（一）部门单位基本情况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w:t>
      </w:r>
      <w:r>
        <w:rPr>
          <w:rStyle w:val="15"/>
          <w:rFonts w:hint="eastAsia"/>
        </w:rPr>
        <w:t>1.部门主要职能</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承担锅炉、压力容器、电梯、起重机械安装、维修、改造监督检验。承担压力管道安装监督检验。承担锅炉、压力容器、压力管道、电梯、起重机械和场（厂）内机动车辆的定期检验。承担锅炉介质的定期检验。承担安全阀定期检验及各类气瓶的检验检测工作。</w:t>
      </w:r>
      <w:r>
        <w:rPr>
          <w:rStyle w:val="15"/>
          <w:rFonts w:hint="eastAsia"/>
        </w:rPr>
        <w:br w:type="textWrapping"/>
      </w:r>
      <w:r>
        <w:rPr>
          <w:rStyle w:val="15"/>
          <w:rFonts w:hint="eastAsia"/>
        </w:rPr>
        <w:t>　　2.部门机构设置及人员构成</w:t>
      </w:r>
      <w:r>
        <w:rPr>
          <w:rStyle w:val="15"/>
          <w:rFonts w:hint="eastAsia"/>
        </w:rPr>
        <w:br w:type="textWrapping"/>
      </w:r>
      <w:r>
        <w:rPr>
          <w:rFonts w:hint="eastAsia" w:ascii="仿宋_GB2312" w:hAnsi="宋体" w:eastAsia="仿宋_GB2312"/>
          <w:b w:val="0"/>
          <w:bCs/>
          <w:sz w:val="32"/>
          <w:szCs w:val="32"/>
        </w:rPr>
        <w:t>　　克州特种设备检验检测所单位无下属预算单位，下设4个处室，分别是：业务室、机电室、承压室和气瓶室。</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克州特种设备检验检测所单位编制数15，实有人数15人，其中：在职15人，增加0人；退休0人，增加0人；离休0人，增加0人。</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w:t>
      </w:r>
      <w:r>
        <w:rPr>
          <w:rStyle w:val="15"/>
          <w:rFonts w:hint="eastAsia"/>
        </w:rPr>
        <w:t>3.年度重点工作</w:t>
      </w:r>
      <w:r>
        <w:rPr>
          <w:rStyle w:val="15"/>
          <w:rFonts w:hint="eastAsia"/>
          <w:lang w:eastAsia="zh-CN"/>
        </w:rPr>
        <w:t>计划</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克州特检所全年完成锅炉外检89台，内检14，安装检验2台，锅炉维修监督检验14台；压力容器定期检验35台，电梯定期检验752部，监督检验29部；起重机定期检验64台，监督检验42台。厂内机动车辆定期检验64辆。安全阀校验300只，车用气瓶安装验收293只，过户1090只，报废703只。发放车用气瓶使用登记证及制作电子标签5446只。截止2021年10月销毁气瓶5575只，累计销毁气瓶96040只。</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w:t>
      </w:r>
      <w:r>
        <w:rPr>
          <w:rStyle w:val="14"/>
          <w:rFonts w:hint="eastAsia"/>
        </w:rPr>
        <w:t>（二）决策过程</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为有效实施本单位内部控制管理工作，加强风险防控机制建设，进一步提高单位内部管理水平，规范各项内部经济活动，依据《中华人民共和国会计法》、《中华人民共和国预算法》、《行政事业单位内部控制规范（试行）》等法律法规和有关规定，本单位制定了《克州特种设备检验检测所单位内部控制规范》，主要内容包括如下几个方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w:t>
      </w:r>
      <w:r>
        <w:rPr>
          <w:rStyle w:val="15"/>
          <w:rFonts w:hint="eastAsia"/>
        </w:rPr>
        <w:t>1.单位层面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单位层面确定了单位内部控制工作组织架构。办公室负责牵头建立内部控制体系，研究制定各项内部控制管理制度，组织协调内部控制日常工作，对所实物资产进行管理。各部门配合内部控制牵头部门对所内相关的经济活动进行流程梳理，提出具体的内部控制措施和手段；认真执行内部控制管理制度，落实相关工作要求。</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单位内部控制依托的重大事项议事机制，决策、执行和监督相分离机制等工作机制；重大经济活动事项的决策形式是单位领导班子会议。涉及单位重大经济活动事项，必须列入单位班子会议研究、审议和决策。会议决议经党组主要领导审签后在一定范围内发布。重大经济活动事项的决议经审定后由分管领导负责实施，由会议确定的责任部门具体执行。各责任部门按照“谁主管、谁负责”的原则，对决策执行实施责任分解，将责任落实到人。同时，单位层面内部控制机制还包括：内部风险控制机制、岗位控制机制、不相容岗位分离机制、授权审批流程；关键岗位工作人员的管理、培训、评价和轮岗等机制。</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w:t>
      </w:r>
      <w:r>
        <w:rPr>
          <w:rStyle w:val="15"/>
          <w:rFonts w:hint="eastAsia"/>
        </w:rPr>
        <w:t>2.业务层面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业务层面建立了部门预算管理办法、财务收支管理办法、固定资产管理办法、办公用品采购保管领用管理办法、采购管理办法、合同业务管理办法、会计业务管理办法等。</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w:t>
      </w:r>
      <w:r>
        <w:rPr>
          <w:rStyle w:val="16"/>
          <w:rFonts w:hint="eastAsia"/>
        </w:rPr>
        <w:t>（1）预算管理：</w:t>
      </w:r>
      <w:r>
        <w:rPr>
          <w:rFonts w:hint="eastAsia" w:ascii="仿宋_GB2312" w:hAnsi="宋体" w:eastAsia="仿宋_GB2312"/>
          <w:b w:val="0"/>
          <w:bCs/>
          <w:sz w:val="32"/>
          <w:szCs w:val="32"/>
        </w:rPr>
        <w:t>领导班子是预算管理决策机构，负责研究单位年度预算、财政信息公开、预算绩效管理等重大事项。</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w:t>
      </w:r>
      <w:r>
        <w:rPr>
          <w:rStyle w:val="16"/>
          <w:rFonts w:hint="eastAsia"/>
        </w:rPr>
        <w:t>（2）收支管理：</w:t>
      </w:r>
      <w:r>
        <w:rPr>
          <w:rFonts w:hint="eastAsia" w:ascii="仿宋_GB2312" w:hAnsi="宋体" w:eastAsia="仿宋_GB2312"/>
          <w:b w:val="0"/>
          <w:bCs/>
          <w:sz w:val="32"/>
          <w:szCs w:val="32"/>
        </w:rPr>
        <w:t>领导层是本单位收支业务管理的决策部门，负责审批单位收支业务等事项。涉及“三重一大”事项，根据《克州特种设备检验检测所集体决策制度》和《克州特种设备检验检测所项目管理办法》办理。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w:t>
      </w:r>
      <w:r>
        <w:rPr>
          <w:rStyle w:val="16"/>
          <w:rFonts w:hint="eastAsia"/>
        </w:rPr>
        <w:t>（3）固定资产管理：</w:t>
      </w:r>
      <w:r>
        <w:rPr>
          <w:rFonts w:hint="eastAsia" w:ascii="仿宋_GB2312" w:hAnsi="宋体" w:eastAsia="仿宋_GB2312"/>
          <w:b w:val="0"/>
          <w:bCs/>
          <w:sz w:val="32"/>
          <w:szCs w:val="32"/>
        </w:rPr>
        <w:t>办公室是本单位固定资产综合管理部门，负责牵头组织协调固定资产使用管理过程中的相关工作；办公室为本单位机关实物资产的牵头管理部门，负责实物资产的监管与指导；办公室负责机关实物资产的申购与分配；各部门为实物资产的具体使用和保管部门，对其完整性负责。</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w:t>
      </w:r>
      <w:r>
        <w:rPr>
          <w:rStyle w:val="16"/>
          <w:rFonts w:hint="eastAsia"/>
        </w:rPr>
        <w:t>（4）办公用品采购保管领用管理：</w:t>
      </w:r>
      <w:r>
        <w:rPr>
          <w:rFonts w:hint="eastAsia" w:ascii="仿宋_GB2312" w:hAnsi="宋体" w:eastAsia="仿宋_GB2312"/>
          <w:b w:val="0"/>
          <w:bCs/>
          <w:sz w:val="32"/>
          <w:szCs w:val="32"/>
        </w:rPr>
        <w:t>办公用品的采购工作，在分管办公室的领导监督指导下，由办公室主任审核后，办公室负责统一集中采购，其他部门和个人不得擅自采购。所有办公用品的采购、保管、发放，均由办公室确定专人负责。各科室凭《办公用品领用申请单》提出办公用品领用申请，申请单需由各部门负责人审批。办公室仓库管理员根据领用申请单进行办公用品出库发放，并由仓库管理员和领用人分别签字确认。单位机关办公用品采购主要采取政府采购和一般零星采购两种形式。凡符合政府采购要求的，遵照《克州特种设备检验检测所政府采购管理办法》执行。</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w:t>
      </w:r>
      <w:r>
        <w:rPr>
          <w:rStyle w:val="16"/>
          <w:rFonts w:hint="eastAsia"/>
        </w:rPr>
        <w:t>（5）合同业务管理：</w:t>
      </w:r>
      <w:r>
        <w:rPr>
          <w:rFonts w:hint="eastAsia" w:ascii="仿宋_GB2312" w:hAnsi="宋体" w:eastAsia="仿宋_GB2312"/>
          <w:b w:val="0"/>
          <w:bCs/>
          <w:sz w:val="32"/>
          <w:szCs w:val="32"/>
        </w:rPr>
        <w:t>按照《克州特种设备检验检测所合同管理办法》相关规定，克州特种设备检验检测所做好合同相关事宜。单位合同审核主体、内容及程序;单位法务介入条件与环节；单位合同台账设置及管理要求;单位合同章种类、使用权限及使用范围;单位合同执行监督机制；单位合同执行归档制度；</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w:t>
      </w:r>
      <w:r>
        <w:rPr>
          <w:rStyle w:val="16"/>
          <w:rFonts w:hint="eastAsia" w:ascii="Arial" w:hAnsi="Arial" w:cstheme="minorBidi"/>
          <w:b/>
        </w:rPr>
        <w:t>（6）会计业务管理办法：</w:t>
      </w:r>
      <w:r>
        <w:rPr>
          <w:rFonts w:hint="eastAsia" w:ascii="仿宋_GB2312" w:hAnsi="宋体" w:eastAsia="仿宋_GB2312"/>
          <w:b w:val="0"/>
          <w:bCs/>
          <w:sz w:val="32"/>
          <w:szCs w:val="32"/>
        </w:rPr>
        <w:t>会计业务管理的基本原则是：坚决贯彻执行国家的有关财经方针、政策、会计法规及各项财务制度，任何人不得在政策法规范围之外，自作主张处理财务问题。充分发挥会计工作的核算、监督作用，严格执行各项费用开支标准，正确使用和管理各项资金。严格内部相互制约制度，严禁由一个人全程包办会计事项的支付业务。加强现金管理，严格按照现金使用范围支取现金，无白条抵库，无坐支现象。严格遵守银行、现金管理制度，通过银行收支款项，不得坐支现金。按月核对银行存款，盘点库存现金，日清月结，确保账实相符。单位财务支出严格执行法定代表人“一支笔”签字制度，报销单据必须合法，真实，有效。单据应由经办人、主任签字后方可报销，专项经费的管理。坚持转款专用的原则，严格分清农村公路建设专项资金与日常公用经费的支出界限。对专项资金的核算，按项目分别进行明细核算。</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（三）单位资金分配情况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1.部门（单位）预算编制及分配依据</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本单位预算编制坚持量入为出、保障重点的原则?，对项目支出按照轻重缓急程度实行分类排序，统筹安排部门预算。2021年本单位安排项目预算时将项目支出进行细化，细化成单价、数量，单价以行业标准、市场数据以及历史数据作为编制依据进行核算，数量以实际需求等资料为依据进行测算。人员经费预算和公用经费预算均按照定额标准编制，预算与部门活动相匹配。</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2.分配结果</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以年度工作计划与战略目标、中长期规划及各条线工作要求为资金分配依据，严格按照《中华人民共和国预算法》、《中华人民共和国预算法实施条例》规定分配本单位资金，2021年度本单位基本支出安排资金258.39万元，项目支出安排资金0万元。经对比分析我单位近三年预算执行情况和经常性项目预算执行情况，结果显示：我单位基本支出预算与历史数据相比平稳、合理；项目支出预算与部门履职、年度重点工作相匹配，体现了重要性原则，预算编制科学、合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我单位牢固树立全面绩效管理理念，将预算绩效管理融入预算各类项目资金，将绩效理念融入预算各个层级，将绩效方法融入预算各项流程，严格按照政策要求编制部门整体支出绩效目标和项目支出绩效目标，切实实现预算编制有目标，确保了资金分配与绩效目标的一致性，实现预算绩效全覆盖。</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3.重点支出保障率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由于32.97万元是补充公用经费，放入项目中核算，因此本单位2021年度项目支出0万元，涉及项目数量0个。</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（四）部门单位整体支出规模</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1.全年预算执行情况分析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2021年度本单位年初批复部门预算资金总额为226.36万元，年中调增预算总额为32.21万元，调整后全年预算资金总额为258.57万元。</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2021年度本单位部门整体支出资金总额为258.39万元，预算执行率为99.93%，预算调整率为</w:t>
      </w:r>
      <w:r>
        <w:rPr>
          <w:rFonts w:hint="eastAsia" w:ascii="仿宋_GB2312" w:hAnsi="宋体" w:eastAsia="仿宋_GB2312"/>
          <w:b w:val="0"/>
          <w:bCs/>
          <w:sz w:val="32"/>
          <w:szCs w:val="32"/>
          <w:lang w:val="en-US" w:eastAsia="zh-CN"/>
        </w:rPr>
        <w:t>14.23</w:t>
      </w:r>
      <w:r>
        <w:rPr>
          <w:rFonts w:hint="eastAsia" w:ascii="仿宋_GB2312" w:hAnsi="宋体" w:eastAsia="仿宋_GB2312"/>
          <w:b w:val="0"/>
          <w:bCs/>
          <w:sz w:val="32"/>
          <w:szCs w:val="32"/>
        </w:rPr>
        <w:t>%。</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2.政府采购项目预算执行情况分析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年初政府采购预算数为31.80万元，实际政府采购数为39.54万</w:t>
      </w:r>
      <w:bookmarkStart w:id="1" w:name="_GoBack"/>
      <w:bookmarkEnd w:id="1"/>
      <w:r>
        <w:rPr>
          <w:rFonts w:hint="eastAsia" w:ascii="仿宋_GB2312" w:hAnsi="宋体" w:eastAsia="仿宋_GB2312"/>
          <w:b w:val="0"/>
          <w:bCs/>
          <w:sz w:val="32"/>
          <w:szCs w:val="32"/>
        </w:rPr>
        <w:t>元，政府采购执行率为124.34%。</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（五）使用方法和主要内容、涉及范围</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1.评价方法</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本次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2.评价对象及主要内容</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3.涉及的范围</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此次我单位根据《财政支出绩效评价管理暂行办法》（财预〔2021〕10号）等一系列文件要求对2021年度我单位部门整体支出开展部门（单位）整体支出绩效自评，本次自评主要内容和涉及范围：一是部门（单位）整体支出管理及使用情况，具体涉及预算管理、基本支出和使用情况、和专项支出管理和使用情况；二是部门（单位）专项组织实施情况具体涉及专项组织情况分析和管理情况分析；三是资产管理情况具体涉及资产管理规范性和固定资产利用率；四是部门（单位）整体支出绩效情况具体涉及部门（单位）整体支出绩效目标的实现程度，包括是否达到预定产出、效果和效益效率等方面进行评价。</w:t>
      </w:r>
      <w:bookmarkStart w:id="0" w:name="_Hlk43849111"/>
      <w:bookmarkEnd w:id="0"/>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部门单位整体支出管理及使用情况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（一）预算管理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1.管理制度健全性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为加强我单位预算管理、规范财务行为我单位制定了《克州特种设备检验检测所内部控制规范》《克州特种设备检验检测所项目管理规范》等资金管理制度，已建立制度均健全且有效运行。</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2.资金使用合规性和安全性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根据自评小组对账务、会计凭证核查显示，我单位2021年资金使用符合国家财经法规和财务管理制度以及有关专项资金管理办法的规定；资金的拨付有完整的审批程序和手续；我单位建立了内部沟通协调机制，资金预算和计划的编制、调整、资金申请、信息及资料有效传递。采购合同和验收报告作为财务室采购资金支付的主要依据，在达到合同约定的付款条件时，采购需求部门及时向财务室递交采购公告、中标通知书、采购合同、验收报告以及原始发票等，由财务室按资金拨付规定及流程实行国库集中支付；不存在截留、挤占、挪用、虚列支出等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3.预决算信息公开性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按照自治州财政局预决算信息公开工作要求，我单位在自治州政府信息网财政信息公开专栏</w:t>
      </w:r>
      <w:r>
        <w:rPr>
          <w:rFonts w:hint="eastAsia" w:ascii="仿宋_GB2312" w:hAnsi="宋体" w:eastAsia="仿宋_GB2312"/>
          <w:b w:val="0"/>
          <w:bCs/>
          <w:sz w:val="32"/>
          <w:szCs w:val="32"/>
          <w:lang w:val="en-US" w:eastAsia="zh-CN"/>
        </w:rPr>
        <w:t xml:space="preserve">-*  </w:t>
      </w:r>
      <w:r>
        <w:rPr>
          <w:rFonts w:hint="eastAsia" w:ascii="仿宋_GB2312" w:hAnsi="宋体" w:eastAsia="仿宋_GB2312"/>
          <w:b w:val="0"/>
          <w:bCs/>
          <w:sz w:val="32"/>
          <w:szCs w:val="32"/>
        </w:rPr>
        <w:t>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（二）基本支出管理和使用情况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1.基本支出使用情况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2021年度我单位基本支出预算总额为225.60万元，其中人员经费195.99万元，公用经费29.61万元。实际执行总额为225.42万元，预算执行率99.92%。</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2.三公经费控制情况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一般公共预算“三公”经费支出决算2.69万元，比上年增加0.19万元，减少7.7%，主要原因是：2021年本单位特种设备检查次数增多。其中，因公出国（境）费支出0万元；公务用车购置及运行维护费支出2.69万元；公务接待费支出0万元;</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与年初预算数相比情况：一般公共预算“三公”经费支出年初预算数6.10万元，预算执行数为2.69万元，执行率为44.10%，主要原因是：按照厉行节约的要求，2021年缩减公务车运行维护费，因此支出随之减少。</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综上我单位2021年度三公经费控制较好，与年初预算相比，未超出年初预算。</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部门单位专项组织实施情况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本单位无部门专项项目。</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资产管理情况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本单位2021年初资产合计数为164.78万元，年末资产合计数为132.30万元。</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（一）资产管理体制和制度建设方面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（二）运行机制和管理方式</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资产管理由财务部门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（三）信息化建设方面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（四）流动资产的管理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流动资产严格按照我单位内控体系要求进行管理，无备用金，单位货币资金管理由财务科每月与银行进行对帐，并填写银行余额调节表。</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（五）固定资产的管理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本单位的资产管理详细按照的相关要求执行,符合财政部门要求。每年年末定时对我单位的固定资产进行盘点，对盘点过程中发生的盈亏，进行原因查找，并上报局党组研究决策，再上报财政国有资产管理科进行申报再行处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（六）固定资产利用率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截止本年度固定资产账面净值118.39万元，年末实际在用固定资产118.39万元，固定资产利用率为100%。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部门单位整体支出绩效情况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部门单位整体支出共设置一级指标3个，二级指标8个，三级指标11个，其中已完成三级指标11个，指标完成率为100%。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1.产出指标完成情况分析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（1）数量指标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“保障人员人数（人）”指标：预期指标值为&gt;=13人，实际完成指标值为15人，指标完成率为115.38%。偏差原因：2021年11月新入职2名大学生；改进措施：做好年初预算。</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“特种设备检验数（台）”指标：预期指标值为&gt;=1200台，实际完成指标值为1200台，指标完成率为100%。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（2）质量指标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“检验检测工作执行合规率（%）”指标：预期指标值为=100%，实际完成指标值为100%，指标完成率为100%。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（3）时效指标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“资金拨付及时率（%）”指标：预期指标值为=100%，实际完成指标值为100%，指标完成率为100%。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（4）成本指标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“人员经费（万元）”指标：预期指标值为=165.13万元，实际完成指标值为165.13万元，指标完成率为100%。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“日常公用经费（万元）”指标：预期指标值为=61.23万元，实际完成指标值为61.23万元，指标完成率为100%。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从以上指标完成情况成本指标达到成本控制及改善目标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2.效益指标完成情况分析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（1）经济效益</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“非税收入金额（万元）”指标：预期指标值为&gt;=100万元，实际完成指标值为100万元，指标完成率为100%。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（2）社会效益</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“特种设备安全运行率不断提升”指标：预期指标值为有效提升，实际完成指标值为有效提升，指标完成率为100%。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（3）生态效益</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无生态效益指标。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（4）可持续影响</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“促进克州经济和科学技术的发展，维护消费者健康、生命、财产安全”指标：预期指标值为效果显著，实际完成指标值为效果显著，指标完成率为100%。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3.满意度指标完成情况分析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“受益企业满意率（%）”指标：预期指标值为&gt;=95%，实际完成指标值为95%，指标完成率为100%。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“受益群众满意率（%）”指标：预期指标值为&gt;=95%，实际完成指标值为95%，指标完成率为100%。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存在的主要问题</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1.部分业务人员绩效管理意识有待增强，未能全面深入认识理解绩效管理工作的意义。绩效管理经验不足，预算绩效管理工作有待进一步落实。</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2.绩效指标的明确性、可衡量性、相关性还需进一步提升。预算精细化管理还需完善，预算编制管理水平仍有进一步提升的空间。</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改进措施和建议</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pPr>
      <w:r>
        <w:rPr>
          <w:rFonts w:hint="eastAsia" w:ascii="仿宋_GB2312" w:hAnsi="宋体" w:eastAsia="仿宋_GB2312"/>
          <w:b w:val="0"/>
          <w:bCs/>
          <w:sz w:val="32"/>
          <w:szCs w:val="32"/>
        </w:rPr>
        <w:t>（一）改进措施</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1.继续加大绩效工作宣传力度，强化绩效理念。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2.继续完善绩效指标，提高整体绩效目标质量。提升预算精细化管理水平。</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3.继续完善预算绩效管理相关工作制度，建立全过程预算绩效管理链条，有效贯彻落实全面实施绩效管理的精神。</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（二）建议</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1.加强预算绩效目标管理工作。明确预算项目绩效目标编制要求，分类别建立科学合理、细化量化、可比可测预算绩效指标体系，突出结果导向，重点考核实绩。</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2.加强绩效业务学习及培训，提高业务人员绩效管理意识，进一步加强预算绩效管理工作，优化项目支出绩效指标体系，完善预算绩效管理制度，有效推动我单位下一年度预算绩效管理工作常态化、规范化。</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3.通过强化专业培训、学习考察、业务交流等措施，帮助和促进本单位现有人员提高绩效管理业务水平、实际工作能力。强化预算绩效执行工作，指定专人负责预算执行监督管理，进一步推动预算绩效管理工作。</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4.借助第三方专业机构力量，贯彻落实全面预算绩效管理工作，建立全过程预算绩效管理链条，将绩效各个环节紧密贯通。</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20B07BA"/>
    <w:rsid w:val="02656D15"/>
    <w:rsid w:val="06696209"/>
    <w:rsid w:val="0D1922F1"/>
    <w:rsid w:val="108622B3"/>
    <w:rsid w:val="1438599A"/>
    <w:rsid w:val="200F4073"/>
    <w:rsid w:val="24B86128"/>
    <w:rsid w:val="3ACB6BB1"/>
    <w:rsid w:val="3CBD4E35"/>
    <w:rsid w:val="51C70EA9"/>
    <w:rsid w:val="54F842B6"/>
    <w:rsid w:val="656071F2"/>
    <w:rsid w:val="65D924EF"/>
    <w:rsid w:val="686F3474"/>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link w:val="14"/>
    <w:semiHidden/>
    <w:unhideWhenUsed/>
    <w:qFormat/>
    <w:uiPriority w:val="9"/>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link w:val="15"/>
    <w:semiHidden/>
    <w:unhideWhenUsed/>
    <w:qFormat/>
    <w:uiPriority w:val="9"/>
    <w:pPr>
      <w:keepNext/>
      <w:keepLines/>
      <w:spacing w:before="260" w:beforeLines="0" w:beforeAutospacing="0" w:after="260" w:afterLines="0" w:afterAutospacing="0" w:line="413" w:lineRule="auto"/>
      <w:outlineLvl w:val="2"/>
    </w:pPr>
    <w:rPr>
      <w:b/>
      <w:sz w:val="32"/>
    </w:rPr>
  </w:style>
  <w:style w:type="paragraph" w:styleId="5">
    <w:name w:val="heading 4"/>
    <w:basedOn w:val="1"/>
    <w:next w:val="1"/>
    <w:link w:val="16"/>
    <w:semiHidden/>
    <w:unhideWhenUsed/>
    <w:qFormat/>
    <w:uiPriority w:val="9"/>
    <w:pPr>
      <w:keepNext/>
      <w:keepLines/>
      <w:spacing w:before="280" w:beforeLines="0" w:beforeAutospacing="0" w:after="290" w:afterLines="0" w:afterAutospacing="0" w:line="360" w:lineRule="auto"/>
      <w:outlineLvl w:val="3"/>
    </w:pPr>
    <w:rPr>
      <w:rFonts w:ascii="Arial" w:hAnsi="Arial" w:eastAsia="仿宋"/>
      <w:b/>
      <w:sz w:val="32"/>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6">
    <w:name w:val="footer"/>
    <w:basedOn w:val="1"/>
    <w:link w:val="12"/>
    <w:unhideWhenUsed/>
    <w:qFormat/>
    <w:uiPriority w:val="99"/>
    <w:pPr>
      <w:tabs>
        <w:tab w:val="center" w:pos="4153"/>
        <w:tab w:val="right" w:pos="8306"/>
      </w:tabs>
      <w:snapToGrid w:val="0"/>
      <w:jc w:val="left"/>
    </w:pPr>
    <w:rPr>
      <w:sz w:val="18"/>
      <w:szCs w:val="18"/>
    </w:rPr>
  </w:style>
  <w:style w:type="paragraph" w:styleId="7">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character" w:styleId="10">
    <w:name w:val="Strong"/>
    <w:basedOn w:val="9"/>
    <w:qFormat/>
    <w:uiPriority w:val="0"/>
    <w:rPr>
      <w:b/>
      <w:bCs/>
    </w:rPr>
  </w:style>
  <w:style w:type="character" w:customStyle="1" w:styleId="11">
    <w:name w:val="页眉 字符"/>
    <w:basedOn w:val="9"/>
    <w:link w:val="7"/>
    <w:qFormat/>
    <w:uiPriority w:val="99"/>
    <w:rPr>
      <w:sz w:val="18"/>
      <w:szCs w:val="18"/>
    </w:rPr>
  </w:style>
  <w:style w:type="character" w:customStyle="1" w:styleId="12">
    <w:name w:val="页脚 字符"/>
    <w:basedOn w:val="9"/>
    <w:link w:val="6"/>
    <w:qFormat/>
    <w:uiPriority w:val="99"/>
    <w:rPr>
      <w:sz w:val="18"/>
      <w:szCs w:val="18"/>
    </w:rPr>
  </w:style>
  <w:style w:type="paragraph" w:styleId="13">
    <w:name w:val="List Paragraph"/>
    <w:basedOn w:val="1"/>
    <w:qFormat/>
    <w:uiPriority w:val="34"/>
    <w:pPr>
      <w:ind w:firstLine="420" w:firstLineChars="200"/>
    </w:pPr>
  </w:style>
  <w:style w:type="character" w:customStyle="1" w:styleId="14">
    <w:name w:val="标题 2 Char"/>
    <w:link w:val="3"/>
    <w:uiPriority w:val="0"/>
    <w:rPr>
      <w:rFonts w:ascii="Arial" w:hAnsi="Arial" w:eastAsia="黑体"/>
      <w:b/>
      <w:sz w:val="32"/>
    </w:rPr>
  </w:style>
  <w:style w:type="character" w:customStyle="1" w:styleId="15">
    <w:name w:val="标题 3 Char"/>
    <w:link w:val="4"/>
    <w:uiPriority w:val="0"/>
    <w:rPr>
      <w:b/>
      <w:sz w:val="32"/>
    </w:rPr>
  </w:style>
  <w:style w:type="character" w:customStyle="1" w:styleId="16">
    <w:name w:val="标题 4 Char"/>
    <w:link w:val="5"/>
    <w:uiPriority w:val="0"/>
    <w:rPr>
      <w:rFonts w:ascii="Arial" w:hAnsi="Arial" w:eastAsia="仿宋"/>
      <w:b/>
      <w:sz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129</Words>
  <Characters>301</Characters>
  <Lines>2</Lines>
  <Paragraphs>1</Paragraphs>
  <TotalTime>1272</TotalTime>
  <ScaleCrop>false</ScaleCrop>
  <LinksUpToDate>false</LinksUpToDate>
  <CharactersWithSpaces>308</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Administrator</cp:lastModifiedBy>
  <dcterms:modified xsi:type="dcterms:W3CDTF">2022-05-23T10:25:25Z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4E2A216151A24EE5A190066F518526B7</vt:lpwstr>
  </property>
</Properties>
</file>